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28" w:rsidRDefault="003B4B9A">
      <w:pPr>
        <w:pStyle w:val="ab"/>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附件3</w:t>
      </w:r>
    </w:p>
    <w:p w:rsidR="00C04228" w:rsidRDefault="003B4B9A">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bCs/>
          <w:spacing w:val="-20"/>
          <w:sz w:val="44"/>
          <w:szCs w:val="44"/>
        </w:rPr>
        <w:t>2023年度大型舞台剧和作品滚动资助</w:t>
      </w:r>
    </w:p>
    <w:p w:rsidR="00C04228" w:rsidRDefault="003B4B9A">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bCs/>
          <w:spacing w:val="-20"/>
          <w:sz w:val="44"/>
          <w:szCs w:val="44"/>
        </w:rPr>
        <w:t>项目申报细则</w:t>
      </w:r>
    </w:p>
    <w:p w:rsidR="00C04228" w:rsidRDefault="003B4B9A">
      <w:pPr>
        <w:pStyle w:val="a9"/>
        <w:shd w:val="clear" w:color="auto" w:fill="FFFFFF"/>
        <w:spacing w:before="0" w:beforeAutospacing="0" w:after="0" w:afterAutospacing="0"/>
        <w:ind w:firstLineChars="200" w:firstLine="640"/>
        <w:jc w:val="both"/>
        <w:rPr>
          <w:rFonts w:ascii="黑体" w:eastAsia="黑体" w:hAnsi="黑体"/>
          <w:sz w:val="32"/>
          <w:szCs w:val="32"/>
          <w:shd w:val="clear" w:color="auto" w:fill="FFFFFF"/>
        </w:rPr>
      </w:pPr>
      <w:r>
        <w:rPr>
          <w:rFonts w:ascii="黑体" w:eastAsia="黑体" w:hAnsi="黑体" w:hint="eastAsia"/>
          <w:bCs/>
          <w:sz w:val="32"/>
          <w:szCs w:val="32"/>
          <w:shd w:val="clear" w:color="auto" w:fill="FFFFFF"/>
        </w:rPr>
        <w:t>一、资助对象</w:t>
      </w:r>
    </w:p>
    <w:p w:rsidR="00C04228" w:rsidRDefault="003B4B9A">
      <w:pPr>
        <w:overflowPunct w:val="0"/>
        <w:adjustRightInd w:val="0"/>
        <w:snapToGrid w:val="0"/>
        <w:spacing w:line="600" w:lineRule="exact"/>
        <w:ind w:firstLineChars="200" w:firstLine="640"/>
        <w:rPr>
          <w:rFonts w:ascii="仿宋" w:eastAsia="仿宋" w:hAnsi="仿宋" w:cs="宋体"/>
          <w:kern w:val="0"/>
          <w:sz w:val="32"/>
          <w:szCs w:val="32"/>
          <w:shd w:val="clear" w:color="auto" w:fill="FFFFFF"/>
        </w:rPr>
      </w:pPr>
      <w:r>
        <w:rPr>
          <w:rFonts w:ascii="仿宋" w:eastAsia="仿宋" w:hAnsi="仿宋" w:cs="宋体"/>
          <w:kern w:val="0"/>
          <w:sz w:val="32"/>
          <w:szCs w:val="32"/>
          <w:shd w:val="clear" w:color="auto" w:fill="FFFFFF"/>
        </w:rPr>
        <w:t>重点资助</w:t>
      </w:r>
      <w:r>
        <w:rPr>
          <w:rFonts w:ascii="仿宋" w:eastAsia="仿宋" w:hAnsi="仿宋" w:cs="宋体" w:hint="eastAsia"/>
          <w:kern w:val="0"/>
          <w:sz w:val="32"/>
          <w:szCs w:val="32"/>
          <w:shd w:val="clear" w:color="auto" w:fill="FFFFFF"/>
        </w:rPr>
        <w:t>思想精深、艺术精湛、制作精良相统一，具有鲜明的艺术特征和精神内涵，塑造出吸引人、感染人、打动人艺术形象的江苏舞台艺术精品剧目。</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申报项目应为曾获得江苏艺术基金舞台艺术作品创作资助项目立项资助，并通过结项验收的大型舞台剧和作品</w:t>
      </w:r>
      <w:r w:rsidR="00D427BB">
        <w:rPr>
          <w:rFonts w:ascii="仿宋" w:eastAsia="仿宋" w:hAnsi="仿宋" w:hint="eastAsia"/>
          <w:sz w:val="32"/>
          <w:szCs w:val="32"/>
          <w:shd w:val="clear" w:color="auto" w:fill="FFFFFF"/>
        </w:rPr>
        <w:t>，</w:t>
      </w:r>
      <w:r w:rsidR="00D427BB" w:rsidRPr="00567FFB">
        <w:rPr>
          <w:rFonts w:ascii="仿宋" w:eastAsia="仿宋" w:hAnsi="仿宋" w:hint="eastAsia"/>
          <w:sz w:val="32"/>
          <w:szCs w:val="32"/>
          <w:shd w:val="clear" w:color="auto" w:fill="FFFFFF"/>
        </w:rPr>
        <w:t>优先资助获得</w:t>
      </w:r>
      <w:r w:rsidR="00567FFB" w:rsidRPr="00567FFB">
        <w:rPr>
          <w:rFonts w:ascii="仿宋" w:eastAsia="仿宋" w:hAnsi="仿宋" w:hint="eastAsia"/>
          <w:sz w:val="32"/>
          <w:szCs w:val="32"/>
          <w:shd w:val="clear" w:color="auto" w:fill="FFFFFF"/>
        </w:rPr>
        <w:t>省级</w:t>
      </w:r>
      <w:r w:rsidR="00D427BB" w:rsidRPr="00567FFB">
        <w:rPr>
          <w:rFonts w:ascii="仿宋" w:eastAsia="仿宋" w:hAnsi="仿宋" w:hint="eastAsia"/>
          <w:sz w:val="32"/>
          <w:szCs w:val="32"/>
          <w:shd w:val="clear" w:color="auto" w:fill="FFFFFF"/>
        </w:rPr>
        <w:t>奖项的优秀剧目</w:t>
      </w:r>
      <w:r w:rsidRPr="00567FFB">
        <w:rPr>
          <w:rFonts w:ascii="仿宋" w:eastAsia="仿宋" w:hAnsi="仿宋" w:hint="eastAsia"/>
          <w:sz w:val="32"/>
          <w:szCs w:val="32"/>
          <w:shd w:val="clear" w:color="auto" w:fill="FFFFFF"/>
        </w:rPr>
        <w:t>。</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二、资助范围</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本项目资助范围为戏曲、话剧、歌剧、舞剧、音乐剧（歌舞剧）、儿童剧、杂技剧、木偶剧、皮影戏、小剧场戏剧、交响乐、民族管弦乐、曲艺（长篇、中篇）和具有创新性、跨界融合特点的表演艺术形式。</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三、资助额度</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艺术基金依据艺术门类、规模体量、成本投入等因素，按照以下标准核定资助资金。</w:t>
      </w:r>
      <w:r>
        <w:rPr>
          <w:rFonts w:ascii="仿宋" w:eastAsia="仿宋" w:hAnsi="仿宋" w:cs="Tahoma" w:hint="eastAsia"/>
          <w:snapToGrid w:val="0"/>
          <w:color w:val="000000"/>
          <w:sz w:val="32"/>
          <w:szCs w:val="32"/>
        </w:rPr>
        <w:t>歌剧、舞剧、音乐剧、杂技剧资助额度为</w:t>
      </w:r>
      <w:r>
        <w:rPr>
          <w:rFonts w:ascii="仿宋" w:eastAsia="仿宋" w:hAnsi="仿宋" w:cs="Tahoma"/>
          <w:snapToGrid w:val="0"/>
          <w:color w:val="000000"/>
          <w:sz w:val="32"/>
          <w:szCs w:val="32"/>
        </w:rPr>
        <w:t>120</w:t>
      </w:r>
      <w:r>
        <w:rPr>
          <w:rFonts w:ascii="仿宋" w:eastAsia="仿宋" w:hAnsi="仿宋" w:cs="Tahoma" w:hint="eastAsia"/>
          <w:snapToGrid w:val="0"/>
          <w:color w:val="000000"/>
          <w:sz w:val="32"/>
          <w:szCs w:val="32"/>
        </w:rPr>
        <w:t>万元；戏曲、话剧、交响乐、民族管弦乐资助额度为</w:t>
      </w:r>
      <w:r>
        <w:rPr>
          <w:rFonts w:ascii="仿宋" w:eastAsia="仿宋" w:hAnsi="仿宋" w:cs="Tahoma"/>
          <w:snapToGrid w:val="0"/>
          <w:color w:val="000000"/>
          <w:sz w:val="32"/>
          <w:szCs w:val="32"/>
        </w:rPr>
        <w:t>100</w:t>
      </w:r>
      <w:r>
        <w:rPr>
          <w:rFonts w:ascii="仿宋" w:eastAsia="仿宋" w:hAnsi="仿宋" w:cs="Tahoma" w:hint="eastAsia"/>
          <w:snapToGrid w:val="0"/>
          <w:color w:val="000000"/>
          <w:sz w:val="32"/>
          <w:szCs w:val="32"/>
        </w:rPr>
        <w:t>万元；小剧场戏剧、儿童剧、木偶剧、皮影戏项目资助额度为</w:t>
      </w:r>
      <w:r>
        <w:rPr>
          <w:rFonts w:ascii="仿宋" w:eastAsia="仿宋" w:hAnsi="仿宋" w:cs="Tahoma"/>
          <w:snapToGrid w:val="0"/>
          <w:color w:val="000000"/>
          <w:sz w:val="32"/>
          <w:szCs w:val="32"/>
        </w:rPr>
        <w:t>70</w:t>
      </w:r>
      <w:r>
        <w:rPr>
          <w:rFonts w:ascii="仿宋" w:eastAsia="仿宋" w:hAnsi="仿宋" w:cs="Tahoma" w:hint="eastAsia"/>
          <w:snapToGrid w:val="0"/>
          <w:color w:val="000000"/>
          <w:sz w:val="32"/>
          <w:szCs w:val="32"/>
        </w:rPr>
        <w:t>万元；曲艺（长篇、中篇）、具有创新性、跨界融合特点的表演艺术形式项目资助额度为</w:t>
      </w:r>
      <w:r>
        <w:rPr>
          <w:rFonts w:ascii="仿宋" w:eastAsia="仿宋" w:hAnsi="仿宋" w:cs="Tahoma"/>
          <w:snapToGrid w:val="0"/>
          <w:color w:val="000000"/>
          <w:sz w:val="32"/>
          <w:szCs w:val="32"/>
        </w:rPr>
        <w:t>50</w:t>
      </w:r>
      <w:r>
        <w:rPr>
          <w:rFonts w:ascii="仿宋" w:eastAsia="仿宋" w:hAnsi="仿宋" w:cs="Tahoma" w:hint="eastAsia"/>
          <w:snapToGrid w:val="0"/>
          <w:color w:val="000000"/>
          <w:sz w:val="32"/>
          <w:szCs w:val="32"/>
        </w:rPr>
        <w:t>万元。</w:t>
      </w:r>
    </w:p>
    <w:p w:rsidR="00C04228" w:rsidRDefault="003B4B9A">
      <w:pPr>
        <w:pStyle w:val="a9"/>
        <w:shd w:val="clear" w:color="auto" w:fill="FFFFFF"/>
        <w:spacing w:before="0" w:beforeAutospacing="0" w:after="0" w:afterAutospacing="0"/>
        <w:ind w:firstLineChars="200" w:firstLine="640"/>
        <w:jc w:val="both"/>
        <w:rPr>
          <w:rFonts w:ascii="黑体" w:eastAsia="黑体" w:hAnsi="黑体"/>
          <w:sz w:val="32"/>
          <w:szCs w:val="32"/>
          <w:shd w:val="clear" w:color="auto" w:fill="FFFFFF"/>
        </w:rPr>
      </w:pPr>
      <w:r>
        <w:rPr>
          <w:rFonts w:ascii="黑体" w:eastAsia="黑体" w:hAnsi="黑体" w:hint="eastAsia"/>
          <w:bCs/>
          <w:sz w:val="32"/>
          <w:szCs w:val="32"/>
          <w:shd w:val="clear" w:color="auto" w:fill="FFFFFF"/>
        </w:rPr>
        <w:lastRenderedPageBreak/>
        <w:t>四、资助方式</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对获得滚动资助的大型舞台剧和作品，艺术基金按照“聚焦于改、以改为主”的工作重心和“三改三演”的工作思路，协调组织专家观看剧目演出或视频录像，召开剧目修改会，指导项目主体组织剧目加工修改，提高思想和艺术质量。</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对大型舞台剧和作品滚动资助项目，艺术基金与项目主体签约并召开剧目“一改”修改会后，拨付资助资金总额的</w:t>
      </w:r>
      <w:r>
        <w:rPr>
          <w:rFonts w:ascii="仿宋" w:eastAsia="仿宋" w:hAnsi="仿宋"/>
          <w:sz w:val="32"/>
          <w:szCs w:val="32"/>
          <w:shd w:val="clear" w:color="auto" w:fill="FFFFFF"/>
        </w:rPr>
        <w:t>50</w:t>
      </w:r>
      <w:r>
        <w:rPr>
          <w:rFonts w:ascii="仿宋" w:eastAsia="仿宋" w:hAnsi="仿宋" w:hint="eastAsia"/>
          <w:sz w:val="32"/>
          <w:szCs w:val="32"/>
          <w:shd w:val="clear" w:color="auto" w:fill="FFFFFF"/>
        </w:rPr>
        <w:t>%，作为剧目加工修改的启动经费；在召开剧目“二改”“三改”修改会后，根据专家意见分别拨付资助资金总额的</w:t>
      </w:r>
      <w:r>
        <w:rPr>
          <w:rFonts w:ascii="仿宋" w:eastAsia="仿宋" w:hAnsi="仿宋"/>
          <w:sz w:val="32"/>
          <w:szCs w:val="32"/>
          <w:shd w:val="clear" w:color="auto" w:fill="FFFFFF"/>
        </w:rPr>
        <w:t>20</w:t>
      </w:r>
      <w:r>
        <w:rPr>
          <w:rFonts w:ascii="仿宋" w:eastAsia="仿宋" w:hAnsi="仿宋" w:hint="eastAsia"/>
          <w:sz w:val="32"/>
          <w:szCs w:val="32"/>
          <w:shd w:val="clear" w:color="auto" w:fill="FFFFFF"/>
        </w:rPr>
        <w:t>%；滚动资助项目完成并验收合格后，拨付剩余</w:t>
      </w:r>
      <w:r>
        <w:rPr>
          <w:rFonts w:ascii="仿宋" w:eastAsia="仿宋" w:hAnsi="仿宋"/>
          <w:sz w:val="32"/>
          <w:szCs w:val="32"/>
          <w:shd w:val="clear" w:color="auto" w:fill="FFFFFF"/>
        </w:rPr>
        <w:t>10</w:t>
      </w:r>
      <w:r>
        <w:rPr>
          <w:rFonts w:ascii="仿宋" w:eastAsia="仿宋" w:hAnsi="仿宋" w:hint="eastAsia"/>
          <w:sz w:val="32"/>
          <w:szCs w:val="32"/>
          <w:shd w:val="clear" w:color="auto" w:fill="FFFFFF"/>
        </w:rPr>
        <w:t>%的资助资金。</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五、申报材料</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完整剧目演出视频，要配有字幕，文件的格式应为MP4。</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六、签约实施</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确定为滚动资助项目后，管理中心将与项目主体签订《江苏艺术基金大型舞台剧和作品滚动资助项目协议书》。</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滚动资助项目立项后，项目主体应按照“聚焦于改、以改为主”的工作重心和“三改三演”的工作思路组织剧目加工修改。项目实施期限为一年。主要工作包括：</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（一）组织“一改一演”。滚动资助项目立项后，管理中心组织专家观看剧目视频录像，召开“一改”剧目修改会。项目主体根据专家提出的意见、建议，填报《江苏艺术基金</w:t>
      </w:r>
      <w:r>
        <w:rPr>
          <w:rFonts w:ascii="仿宋" w:eastAsia="仿宋" w:hAnsi="仿宋" w:hint="eastAsia"/>
          <w:sz w:val="32"/>
          <w:szCs w:val="32"/>
          <w:shd w:val="clear" w:color="auto" w:fill="FFFFFF"/>
        </w:rPr>
        <w:lastRenderedPageBreak/>
        <w:t>大型舞台剧和作品滚动资助项目实施计划》。在完成加工修改后，管理中心组织专家现场观看“一改”后的剧目“首演（一演）”。</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组织“二改二演”。“首演（一演）”结束后，管理中心组织专家召开“二改”剧目修改会。项目主体再次根据专家意见、建议，开展剧目加工修改。在完成加工修改后，管理中心组织专家现场观看，完成“二演”。</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组织“三改三演”。管理中心组织专家召开“三改”剧目修改会，根据剧目加工修改情况，再次提出意见、建议。项目主体第三次进行剧目加工修改并开展演出，广泛征求群众意见，接受社会监督和群众检验，完成“三演”。</w:t>
      </w:r>
    </w:p>
    <w:p w:rsidR="00C04228" w:rsidRDefault="003B4B9A">
      <w:pPr>
        <w:pStyle w:val="a9"/>
        <w:shd w:val="clear" w:color="auto" w:fill="FFFFFF"/>
        <w:spacing w:before="0" w:beforeAutospacing="0" w:after="0" w:afterAutospacing="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管理中心组织专家进行结项验收。</w:t>
      </w:r>
    </w:p>
    <w:p w:rsidR="00C04228" w:rsidRDefault="003B4B9A">
      <w:pPr>
        <w:pStyle w:val="a9"/>
        <w:shd w:val="clear" w:color="auto" w:fill="FFFFFF"/>
        <w:spacing w:before="0" w:beforeAutospacing="0" w:after="0" w:afterAutospacing="0"/>
        <w:ind w:firstLineChars="200" w:firstLine="643"/>
        <w:jc w:val="both"/>
        <w:rPr>
          <w:rFonts w:ascii="仿宋" w:eastAsia="仿宋" w:hAnsi="仿宋"/>
          <w:sz w:val="32"/>
          <w:szCs w:val="32"/>
          <w:shd w:val="clear" w:color="auto" w:fill="FFFFFF"/>
        </w:rPr>
      </w:pPr>
      <w:r>
        <w:rPr>
          <w:rFonts w:ascii="仿宋" w:eastAsia="仿宋" w:hAnsi="仿宋" w:hint="eastAsia"/>
          <w:b/>
          <w:bCs/>
          <w:sz w:val="32"/>
          <w:szCs w:val="32"/>
          <w:shd w:val="clear" w:color="auto" w:fill="FFFFFF"/>
        </w:rPr>
        <w:t>七、其他</w:t>
      </w:r>
      <w:r>
        <w:rPr>
          <w:rFonts w:ascii="Calibri" w:eastAsia="仿宋" w:hAnsi="Calibri" w:cs="Calibri"/>
          <w:b/>
          <w:bCs/>
          <w:sz w:val="32"/>
          <w:szCs w:val="32"/>
          <w:shd w:val="clear" w:color="auto" w:fill="FFFFFF"/>
        </w:rPr>
        <w:t>       </w:t>
      </w:r>
      <w:r>
        <w:rPr>
          <w:rFonts w:ascii="Calibri" w:eastAsia="仿宋" w:hAnsi="Calibri" w:cs="Calibri"/>
          <w:sz w:val="32"/>
          <w:szCs w:val="32"/>
          <w:shd w:val="clear" w:color="auto" w:fill="FFFFFF"/>
        </w:rPr>
        <w:t>   </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（一）滚动资助项目在剧目修改会、演出、宣传，以及其他公开活动中，应始终在相关材料显著位置注明本项目为“江苏艺术基金滚动资助项目”，并规范使用江苏艺术基金标识。</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（二）艺术基金对项目主体在本项目申报、实施过程中与第三方产生的纠纷不承担任何责任。</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（三）管理中心对本指南拥有最终解释权。</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（四）本指南自发布之日起实施。</w:t>
      </w:r>
    </w:p>
    <w:p w:rsidR="00C04228" w:rsidRDefault="00C04228">
      <w:pPr>
        <w:rPr>
          <w:rFonts w:ascii="仿宋" w:eastAsia="仿宋" w:hAnsi="仿宋" w:cs="宋体"/>
          <w:kern w:val="0"/>
          <w:sz w:val="32"/>
          <w:szCs w:val="32"/>
          <w:shd w:val="clear" w:color="auto" w:fill="FFFFFF"/>
        </w:rPr>
      </w:pPr>
    </w:p>
    <w:sectPr w:rsidR="00C04228">
      <w:footerReference w:type="default" r:id="rId6"/>
      <w:pgSz w:w="11906" w:h="16838"/>
      <w:pgMar w:top="1440" w:right="1800" w:bottom="1440" w:left="1800"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94" w:rsidRDefault="004D1A94">
      <w:r>
        <w:separator/>
      </w:r>
    </w:p>
  </w:endnote>
  <w:endnote w:type="continuationSeparator" w:id="0">
    <w:p w:rsidR="004D1A94" w:rsidRDefault="004D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49286"/>
      <w:docPartObj>
        <w:docPartGallery w:val="AutoText"/>
      </w:docPartObj>
    </w:sdtPr>
    <w:sdtEndPr/>
    <w:sdtContent>
      <w:p w:rsidR="00C04228" w:rsidRDefault="003B4B9A">
        <w:pPr>
          <w:pStyle w:val="a5"/>
          <w:jc w:val="center"/>
        </w:pPr>
        <w:r>
          <w:fldChar w:fldCharType="begin"/>
        </w:r>
        <w:r>
          <w:instrText>PAGE   \* MERGEFORMAT</w:instrText>
        </w:r>
        <w:r>
          <w:fldChar w:fldCharType="separate"/>
        </w:r>
        <w:r w:rsidR="00004C89" w:rsidRPr="00004C89">
          <w:rPr>
            <w:noProof/>
            <w:lang w:val="zh-CN"/>
          </w:rPr>
          <w:t>13</w:t>
        </w:r>
        <w:r>
          <w:fldChar w:fldCharType="end"/>
        </w:r>
      </w:p>
    </w:sdtContent>
  </w:sdt>
  <w:p w:rsidR="00C04228" w:rsidRDefault="00C04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94" w:rsidRDefault="004D1A94">
      <w:r>
        <w:separator/>
      </w:r>
    </w:p>
  </w:footnote>
  <w:footnote w:type="continuationSeparator" w:id="0">
    <w:p w:rsidR="004D1A94" w:rsidRDefault="004D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8A65F2"/>
    <w:rsid w:val="00004C89"/>
    <w:rsid w:val="00036DCD"/>
    <w:rsid w:val="00042812"/>
    <w:rsid w:val="0007229F"/>
    <w:rsid w:val="000B456C"/>
    <w:rsid w:val="002A5A58"/>
    <w:rsid w:val="002B5821"/>
    <w:rsid w:val="002E6E86"/>
    <w:rsid w:val="0038429D"/>
    <w:rsid w:val="003B4B9A"/>
    <w:rsid w:val="00487433"/>
    <w:rsid w:val="004A1F90"/>
    <w:rsid w:val="004D1A94"/>
    <w:rsid w:val="00541884"/>
    <w:rsid w:val="00567FFB"/>
    <w:rsid w:val="00633434"/>
    <w:rsid w:val="008A65F2"/>
    <w:rsid w:val="008C1153"/>
    <w:rsid w:val="00AB251F"/>
    <w:rsid w:val="00B51150"/>
    <w:rsid w:val="00B752E8"/>
    <w:rsid w:val="00C04228"/>
    <w:rsid w:val="00D427BB"/>
    <w:rsid w:val="00DD6717"/>
    <w:rsid w:val="00E405D4"/>
    <w:rsid w:val="00E6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09724-3FA0-4AC3-AED6-9F13BD2E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陈冰月</cp:lastModifiedBy>
  <cp:revision>2</cp:revision>
  <cp:lastPrinted>2022-11-07T00:23:00Z</cp:lastPrinted>
  <dcterms:created xsi:type="dcterms:W3CDTF">2022-11-07T00:23:00Z</dcterms:created>
  <dcterms:modified xsi:type="dcterms:W3CDTF">2022-11-07T00:23:00Z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0C3DBE0E2142488091727A2295088A5A</vt:lpwstr>
  </property>
</Properties>
</file>